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0C" w:rsidRPr="00F303A3" w:rsidRDefault="00F303A3" w:rsidP="00F303A3">
      <w:r>
        <w:rPr>
          <w:rFonts w:ascii="Verdana" w:hAnsi="Verdana"/>
          <w:b/>
          <w:bCs/>
          <w:color w:val="000000"/>
          <w:sz w:val="18"/>
          <w:szCs w:val="18"/>
          <w:shd w:val="clear" w:color="auto" w:fill="B3D9E2"/>
        </w:rPr>
        <w:t>Superintendencia de Riesgos del Trabajo</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RIESGOS DEL TRABAJO</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Resolución 770/2013</w:t>
      </w:r>
      <w:r>
        <w:rPr>
          <w:rFonts w:ascii="Verdana" w:hAnsi="Verdana"/>
          <w:b/>
          <w:bCs/>
          <w:color w:val="000000"/>
          <w:sz w:val="18"/>
          <w:szCs w:val="18"/>
        </w:rPr>
        <w:br/>
      </w:r>
      <w:r>
        <w:rPr>
          <w:rFonts w:ascii="Verdana" w:hAnsi="Verdana"/>
          <w:b/>
          <w:bCs/>
          <w:color w:val="000000"/>
          <w:sz w:val="18"/>
          <w:szCs w:val="18"/>
        </w:rPr>
        <w:br/>
      </w:r>
      <w:r>
        <w:rPr>
          <w:rFonts w:ascii="Verdana" w:hAnsi="Verdana"/>
          <w:b/>
          <w:bCs/>
          <w:color w:val="000000"/>
          <w:sz w:val="18"/>
          <w:szCs w:val="18"/>
          <w:shd w:val="clear" w:color="auto" w:fill="B3D9E2"/>
        </w:rPr>
        <w:t>Créase el Programa Nacional de Prevención por Rama de Actividad.</w:t>
      </w:r>
      <w:r>
        <w:rPr>
          <w:rFonts w:ascii="Verdana" w:hAnsi="Verdana"/>
          <w:b/>
          <w:bCs/>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Bs. As., 24/4/2013</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VISTO, el Expediente Nº 33.271/13 del Registro de la SUPERINTENDENCIA DE RIESGOS DEL TRABAJO (S.R.T.), las Leyes Nº 24.557, Nº 25.212, Nº 26.693, Nº 26.694, el Decreto Nº 491 de fecha 29 de mayo de 1997, y</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CONSIDERANDO: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el ESTADO NACIONAL debe adoptar las medidas apropiadas para garantizar la plena efectividad en la protección del derecho de los trabajadores a la salud y seguridad en el trabajo.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el artículo 1°, apartado 2, inciso a), de la Ley Nº 24.557 establece como uno de sus objetivos fundamentales la reducción de la siniestralidad a través de la prevención de los riesgos derivados del trabajo.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Que en la Declaración de la ORGANIZACION INTERNACIONAL DEL TRABAJO (O.I.T.) “Sobre la Justicia Social para una Globalización Equitativa” adoptada por la Conferencia Internacional del Trabajo en su nonagésima séptima reunión, Ginebra, 10 de junio de 2008, se ha expresado que: “El diálogo social y la práctica del </w:t>
      </w:r>
      <w:proofErr w:type="spellStart"/>
      <w:r>
        <w:rPr>
          <w:rFonts w:ascii="Verdana" w:hAnsi="Verdana"/>
          <w:color w:val="000000"/>
          <w:sz w:val="18"/>
          <w:szCs w:val="18"/>
          <w:shd w:val="clear" w:color="auto" w:fill="B3D9E2"/>
        </w:rPr>
        <w:t>tripartismo</w:t>
      </w:r>
      <w:proofErr w:type="spellEnd"/>
      <w:r>
        <w:rPr>
          <w:rFonts w:ascii="Verdana" w:hAnsi="Verdana"/>
          <w:color w:val="000000"/>
          <w:sz w:val="18"/>
          <w:szCs w:val="18"/>
          <w:shd w:val="clear" w:color="auto" w:fill="B3D9E2"/>
        </w:rPr>
        <w:t xml:space="preserve"> entre los gobiernos y las organizaciones representativas de trabajadores y de empleadores tanto en el plano nacional como en el internacional resultan ahora aún más pertinentes para lograr soluciones y fortalecer la cohesión social y el Estado de derecho, entre otros medios, mediante las normas internacionales del trabajo”.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definición de diálogo social de la O.I.T. incluye todos los tipos de negociación, consulta e intercambio de información entre representantes de gobiernos, empleadores y trabajadores sobre temas de interés común.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el marco de los Convenios O.I.T. Nº 155 y Nº 187, que fueran incorporados a nuestra legislación por las Leyes Nº 26.693 y Nº 26.694, nuestro país se comprometió a poner en práctica y reexaminar de forma periódica una política nacional coherente en materia de seguridad y salud de los trabajadores y medio ambiente laboral, y a promover la mejora continua de la seguridad y salud en el empleo.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 partir de ello se creó la “Estrategia Argentina de Salud y Seguridad en el Trabajo 2011-2015”, y el “Plan de Acción de la Estrategia Argentina de Salud y Seguridad en el Trabajo 2011-2015”, como instrumentos para consolidar la planificación y actuación en materia de prevención de riesgos laborales.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el “Plan de Acción de la Estrategia Argentina de Salud y Seguridad en el Trabajo 2011-2015”, se fundamenta en que: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“La política nacional de salud y seguridad en el trabajo tiene por objeto promover la mejora de las condiciones de trabajo con el fin de proteger la vida, preservar y mantener la integridad sicofísica de los trabajadores”.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“La política nacional se implementará mediante el dictado de normas reglamentarias y de acciones de formación e inspección, de manera coordinada con las autoridades administrativas del trabajo en el marco de sus competencias.”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lastRenderedPageBreak/>
        <w:t>“La puesta en práctica y la revisión periódica de esta política nacional de salud y seguridad en el trabajo se realizará en consulta con las organizaciones representativas de trabajadores y de empleadores y con los restantes organismos estatales que tengan competencia en las materias abordadas.”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a los fines de la puesta en práctica de los compromisos asumidos, resulta conveniente que la política nacional de salud y seguridad en el trabajo se realice en consulta con las organizaciones representativas de trabajadores y de empleadores y con los restantes Organismos estatales que tengan competencia en las materias abordadas.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variedad y complejidad de cada una de las ramas de la actividad ponen de manifiesto la necesidad de generar políticas de prevención que abarquen los riesgos específicos y diferenciales de cada una de ellas, dándoles un tratamiento diferenciado.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en el contexto señalado, resulta necesaria la creación de un “Programa Nacional de Prevención por Rama de Actividad” donde se invite a conformar Comisiones de Trabajo con la participación activa de los actores sociales que intervienen en cada una de las ramas productiva y de servicios, con el objetivo de reducir los accidentes de trabajo y las enfermedades profesionales, y mejorar las condiciones de la Salud y la Seguridad en el Trabajo, atendiendo a las necesidades específicas de cada tipo de industria.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tanto el artículo 33, apartado 4° de la Ley de Riesgos del Trabajo como su reglamentario, artículo 11 del Decreto Nº 491 de fecha 29 de mayo de 1997, prevén los destinos de los excedentes del Fondo de Garantía de la Ley sobre Riesgos del Trabajo.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las acciones previstas para cada una de las Comisiones de Trabajo que se conformen en el marco del Programa, podrán ser financiadas con los Excedentes del Fondo de Garantía de la Ley Nº 24.557, en tanto se correspondan con las finalidades asignadas a tales excedentes.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Gerencia de Asuntos Legales ha tomado la intervención de su competencia.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Que la presente se dicta en virtud de las facultades conferidas en el artículo 4°, apartado 1, y artículo 36, apartado 1, inciso a) de la Ley Nº 24.557.</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Por ello,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EL SUPERINTENDENTE DE RIESGOS DEL TRABAJO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RESUELVE:</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Artículo 1° —</w:t>
      </w:r>
      <w:r>
        <w:rPr>
          <w:rFonts w:ascii="Verdana" w:hAnsi="Verdana"/>
          <w:color w:val="000000"/>
          <w:sz w:val="18"/>
          <w:szCs w:val="18"/>
          <w:shd w:val="clear" w:color="auto" w:fill="B3D9E2"/>
        </w:rPr>
        <w:t> Créase, en el ámbito de la SUPERINTENDENCIA DE RIESGOS DEL TRABAJO (S.R.T.) el PROGRAMA NACIONAL DE PREVENCION POR RAMA DE ACTIVIDAD, en adelante “EL PROGRAMA”, cuyo objetivo principal será el desarrollo y programación de políticas activas de prevención primaria, secundaria y terciaria, de manera conjunta o independiente con las Organizaciones Empresariales, las Organizaciones Sindicales, las Administradoras de Trabajo Locales y las Aseguradoras de Riesgo de Trabajo.</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2° —</w:t>
      </w:r>
      <w:r>
        <w:rPr>
          <w:rFonts w:ascii="Verdana" w:hAnsi="Verdana"/>
          <w:color w:val="000000"/>
          <w:sz w:val="18"/>
          <w:szCs w:val="18"/>
          <w:shd w:val="clear" w:color="auto" w:fill="B3D9E2"/>
        </w:rPr>
        <w:t> “EL PROGRAMA” comprenderá todas las ramas de producción y servicios existentes y las que en un futuro surjan.</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3° —</w:t>
      </w:r>
      <w:r>
        <w:rPr>
          <w:rFonts w:ascii="Verdana" w:hAnsi="Verdana"/>
          <w:color w:val="000000"/>
          <w:sz w:val="18"/>
          <w:szCs w:val="18"/>
          <w:shd w:val="clear" w:color="auto" w:fill="B3D9E2"/>
        </w:rPr>
        <w:t> </w:t>
      </w:r>
      <w:proofErr w:type="spellStart"/>
      <w:r>
        <w:rPr>
          <w:rFonts w:ascii="Verdana" w:hAnsi="Verdana"/>
          <w:color w:val="000000"/>
          <w:sz w:val="18"/>
          <w:szCs w:val="18"/>
          <w:shd w:val="clear" w:color="auto" w:fill="B3D9E2"/>
        </w:rPr>
        <w:t>Establécese</w:t>
      </w:r>
      <w:proofErr w:type="spellEnd"/>
      <w:r>
        <w:rPr>
          <w:rFonts w:ascii="Verdana" w:hAnsi="Verdana"/>
          <w:color w:val="000000"/>
          <w:sz w:val="18"/>
          <w:szCs w:val="18"/>
          <w:shd w:val="clear" w:color="auto" w:fill="B3D9E2"/>
        </w:rPr>
        <w:t xml:space="preserve"> que en su etapa inicial, “EL PROGRAMA” abarcará las siguientes ramas de actividad: Industria Metalmecánica; Industria Automotriz; Industria Frigorífica; Industria de la Carne; Industria del Cuero; Transporte Terrestre; Industria Petrolera; Industria Pesquera; Industria Maderera; Industrias Lácteas; Industria Minera; Industria Eléctrica; Educación y Nanotecnología. Las restantes ramas de actividad existentes y las que en un futuro surjan se irán incorporando de manera progresiva.</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4° —</w:t>
      </w:r>
      <w:r>
        <w:rPr>
          <w:rFonts w:ascii="Verdana" w:hAnsi="Verdana"/>
          <w:color w:val="000000"/>
          <w:sz w:val="18"/>
          <w:szCs w:val="18"/>
          <w:shd w:val="clear" w:color="auto" w:fill="B3D9E2"/>
        </w:rPr>
        <w:t> </w:t>
      </w:r>
      <w:proofErr w:type="spellStart"/>
      <w:r>
        <w:rPr>
          <w:rFonts w:ascii="Verdana" w:hAnsi="Verdana"/>
          <w:color w:val="000000"/>
          <w:sz w:val="18"/>
          <w:szCs w:val="18"/>
          <w:shd w:val="clear" w:color="auto" w:fill="B3D9E2"/>
        </w:rPr>
        <w:t>Determínase</w:t>
      </w:r>
      <w:proofErr w:type="spellEnd"/>
      <w:r>
        <w:rPr>
          <w:rFonts w:ascii="Verdana" w:hAnsi="Verdana"/>
          <w:color w:val="000000"/>
          <w:sz w:val="18"/>
          <w:szCs w:val="18"/>
          <w:shd w:val="clear" w:color="auto" w:fill="B3D9E2"/>
        </w:rPr>
        <w:t xml:space="preserve"> que a los fines de la participación activa de los diferentes actores sociales, en el cumplimiento de los objetivos detallados en la presente resolución, se </w:t>
      </w:r>
      <w:r>
        <w:rPr>
          <w:rFonts w:ascii="Verdana" w:hAnsi="Verdana"/>
          <w:color w:val="000000"/>
          <w:sz w:val="18"/>
          <w:szCs w:val="18"/>
          <w:shd w:val="clear" w:color="auto" w:fill="B3D9E2"/>
        </w:rPr>
        <w:lastRenderedPageBreak/>
        <w:t>propiciará la creación de Comisiones de Trabajo para cada actividad, cuya integración se conformará con CUATRO (4) representantes por cada una de las siguientes entidades: La SUPERINTENDENCIA DE RIESGOS DEL TRABAJO (S.R.T.) por el ESTADO NACIONAL; los GREMIOS relacionados a la actividad por el Sector Sindical; la CAMARA INDUSTRIAL que corresponda por el Sector Empresarial; y la UNION DE ASEGURADORAS DE RIESGOS DEL TRABAJO (U.A.R.T.) por las Aseguradoras de Riesgos del Trabajo.</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5° —</w:t>
      </w:r>
      <w:r>
        <w:rPr>
          <w:rFonts w:ascii="Verdana" w:hAnsi="Verdana"/>
          <w:color w:val="000000"/>
          <w:sz w:val="18"/>
          <w:szCs w:val="18"/>
          <w:shd w:val="clear" w:color="auto" w:fill="B3D9E2"/>
        </w:rPr>
        <w:t> </w:t>
      </w:r>
      <w:proofErr w:type="spellStart"/>
      <w:r>
        <w:rPr>
          <w:rFonts w:ascii="Verdana" w:hAnsi="Verdana"/>
          <w:color w:val="000000"/>
          <w:sz w:val="18"/>
          <w:szCs w:val="18"/>
          <w:shd w:val="clear" w:color="auto" w:fill="B3D9E2"/>
        </w:rPr>
        <w:t>Establécese</w:t>
      </w:r>
      <w:proofErr w:type="spellEnd"/>
      <w:r>
        <w:rPr>
          <w:rFonts w:ascii="Verdana" w:hAnsi="Verdana"/>
          <w:color w:val="000000"/>
          <w:sz w:val="18"/>
          <w:szCs w:val="18"/>
          <w:shd w:val="clear" w:color="auto" w:fill="B3D9E2"/>
        </w:rPr>
        <w:t xml:space="preserve"> que las Comisiones de Trabajo a crearse tendrán, entre otras, las siguientes funciones: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a) La confección de un Relevamiento de los Riesgos, Cargas y Exigencias específicas del sector, guías de observación de problemas, </w:t>
      </w:r>
      <w:proofErr w:type="spellStart"/>
      <w:r>
        <w:rPr>
          <w:rFonts w:ascii="Verdana" w:hAnsi="Verdana"/>
          <w:color w:val="000000"/>
          <w:sz w:val="18"/>
          <w:szCs w:val="18"/>
          <w:shd w:val="clear" w:color="auto" w:fill="B3D9E2"/>
        </w:rPr>
        <w:t>check</w:t>
      </w:r>
      <w:proofErr w:type="spellEnd"/>
      <w:r>
        <w:rPr>
          <w:rFonts w:ascii="Verdana" w:hAnsi="Verdana"/>
          <w:color w:val="000000"/>
          <w:sz w:val="18"/>
          <w:szCs w:val="18"/>
          <w:shd w:val="clear" w:color="auto" w:fill="B3D9E2"/>
        </w:rPr>
        <w:t xml:space="preserve"> </w:t>
      </w:r>
      <w:proofErr w:type="spellStart"/>
      <w:r>
        <w:rPr>
          <w:rFonts w:ascii="Verdana" w:hAnsi="Verdana"/>
          <w:color w:val="000000"/>
          <w:sz w:val="18"/>
          <w:szCs w:val="18"/>
          <w:shd w:val="clear" w:color="auto" w:fill="B3D9E2"/>
        </w:rPr>
        <w:t>list</w:t>
      </w:r>
      <w:proofErr w:type="spellEnd"/>
      <w:r>
        <w:rPr>
          <w:rFonts w:ascii="Verdana" w:hAnsi="Verdana"/>
          <w:color w:val="000000"/>
          <w:sz w:val="18"/>
          <w:szCs w:val="18"/>
          <w:shd w:val="clear" w:color="auto" w:fill="B3D9E2"/>
        </w:rPr>
        <w:t>, mediciones instrumentales, etc.;</w:t>
      </w:r>
      <w:r>
        <w:rPr>
          <w:rFonts w:ascii="Verdana" w:hAnsi="Verdana"/>
          <w:color w:val="000000"/>
          <w:sz w:val="18"/>
          <w:szCs w:val="18"/>
        </w:rPr>
        <w:br/>
      </w:r>
      <w:r>
        <w:rPr>
          <w:rFonts w:ascii="Verdana" w:hAnsi="Verdana"/>
          <w:color w:val="000000"/>
          <w:sz w:val="18"/>
          <w:szCs w:val="18"/>
        </w:rPr>
        <w:br/>
      </w:r>
      <w:bookmarkStart w:id="0" w:name="_GoBack"/>
      <w:r>
        <w:rPr>
          <w:rFonts w:ascii="Verdana" w:hAnsi="Verdana"/>
          <w:color w:val="000000"/>
          <w:sz w:val="18"/>
          <w:szCs w:val="18"/>
          <w:shd w:val="clear" w:color="auto" w:fill="B3D9E2"/>
        </w:rPr>
        <w:t xml:space="preserve">b) La elaboración de Mapas de Riesgos cuya información se detalle por jurisdicción, por </w:t>
      </w:r>
      <w:bookmarkEnd w:id="0"/>
      <w:r>
        <w:rPr>
          <w:rFonts w:ascii="Verdana" w:hAnsi="Verdana"/>
          <w:color w:val="000000"/>
          <w:sz w:val="18"/>
          <w:szCs w:val="18"/>
          <w:shd w:val="clear" w:color="auto" w:fill="B3D9E2"/>
        </w:rPr>
        <w:t>provincia y a nivel nacional;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 El relevamiento sobre los perfiles de alteraciones a la salud, particularizados en las manifestaciones tempranas de la salud, cuestionarios, inventarios, escalas, etc.;</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 xml:space="preserve">d) El relevamiento sobre los estudios médicos resultantes de los exámenes </w:t>
      </w:r>
      <w:proofErr w:type="spellStart"/>
      <w:r>
        <w:rPr>
          <w:rFonts w:ascii="Verdana" w:hAnsi="Verdana"/>
          <w:color w:val="000000"/>
          <w:sz w:val="18"/>
          <w:szCs w:val="18"/>
          <w:shd w:val="clear" w:color="auto" w:fill="B3D9E2"/>
        </w:rPr>
        <w:t>preocupacionales</w:t>
      </w:r>
      <w:proofErr w:type="spellEnd"/>
      <w:r>
        <w:rPr>
          <w:rFonts w:ascii="Verdana" w:hAnsi="Verdana"/>
          <w:color w:val="000000"/>
          <w:sz w:val="18"/>
          <w:szCs w:val="18"/>
          <w:shd w:val="clear" w:color="auto" w:fill="B3D9E2"/>
        </w:rPr>
        <w:t xml:space="preserve"> y periódicos del sector;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 La participación en la elaboración de políticas de prevención primaria, secundaria y terciaria y sus programas de ejecución;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f) La realización de manuales de buenas prácticas del sector;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g) El desarrollo de programas de vigilancia epidemiológica en salud y seguridad en el trabajo y de monitoreo de las políticas preventivas;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h) La realización de un encuentro anual a nivel regional y otro a nivel nacional.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Las funciones enumeradas no son taxativas y en caso de existir conclusiones tendrán carácter de recomendación.</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6° —</w:t>
      </w:r>
      <w:r>
        <w:rPr>
          <w:rFonts w:ascii="Verdana" w:hAnsi="Verdana"/>
          <w:color w:val="000000"/>
          <w:sz w:val="18"/>
          <w:szCs w:val="18"/>
          <w:shd w:val="clear" w:color="auto" w:fill="B3D9E2"/>
        </w:rPr>
        <w:t> </w:t>
      </w:r>
      <w:proofErr w:type="spellStart"/>
      <w:r>
        <w:rPr>
          <w:rFonts w:ascii="Verdana" w:hAnsi="Verdana"/>
          <w:color w:val="000000"/>
          <w:sz w:val="18"/>
          <w:szCs w:val="18"/>
          <w:shd w:val="clear" w:color="auto" w:fill="B3D9E2"/>
        </w:rPr>
        <w:t>Determínase</w:t>
      </w:r>
      <w:proofErr w:type="spellEnd"/>
      <w:r>
        <w:rPr>
          <w:rFonts w:ascii="Verdana" w:hAnsi="Verdana"/>
          <w:color w:val="000000"/>
          <w:sz w:val="18"/>
          <w:szCs w:val="18"/>
          <w:shd w:val="clear" w:color="auto" w:fill="B3D9E2"/>
        </w:rPr>
        <w:t xml:space="preserve"> que las Comisiones de Trabajo deberán aprobar su reglamento por consenso.</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7° — </w:t>
      </w:r>
      <w:r>
        <w:rPr>
          <w:rFonts w:ascii="Verdana" w:hAnsi="Verdana"/>
          <w:color w:val="000000"/>
          <w:sz w:val="18"/>
          <w:szCs w:val="18"/>
          <w:shd w:val="clear" w:color="auto" w:fill="B3D9E2"/>
        </w:rPr>
        <w:t>Las acciones previstas en el marco de la presente resolución podrán ser financiadas con los Excedentes del Fondo de Garantía de la Ley Nº 24.557, en tanto se correspondan con los destinos previstos para tales excedentes por la normativa de aplicación en la materia, sujeto a la disponibilidad de recursos y en la proporción que la S.R.T. determine.</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8° —</w:t>
      </w:r>
      <w:r>
        <w:rPr>
          <w:rFonts w:ascii="Verdana" w:hAnsi="Verdana"/>
          <w:color w:val="000000"/>
          <w:sz w:val="18"/>
          <w:szCs w:val="18"/>
          <w:shd w:val="clear" w:color="auto" w:fill="B3D9E2"/>
        </w:rPr>
        <w:t> La presente resolución entrará en vigencia a partir del día siguiente al de su publicación en el Boletín Oficial.</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shd w:val="clear" w:color="auto" w:fill="B3D9E2"/>
        </w:rPr>
        <w:t>Art. 9° —</w:t>
      </w:r>
      <w:r>
        <w:rPr>
          <w:rFonts w:ascii="Verdana" w:hAnsi="Verdana"/>
          <w:color w:val="000000"/>
          <w:sz w:val="18"/>
          <w:szCs w:val="18"/>
          <w:shd w:val="clear" w:color="auto" w:fill="B3D9E2"/>
        </w:rPr>
        <w:t xml:space="preserve"> Comuníquese, publíquese, </w:t>
      </w:r>
      <w:proofErr w:type="spellStart"/>
      <w:r>
        <w:rPr>
          <w:rFonts w:ascii="Verdana" w:hAnsi="Verdana"/>
          <w:color w:val="000000"/>
          <w:sz w:val="18"/>
          <w:szCs w:val="18"/>
          <w:shd w:val="clear" w:color="auto" w:fill="B3D9E2"/>
        </w:rPr>
        <w:t>dése</w:t>
      </w:r>
      <w:proofErr w:type="spellEnd"/>
      <w:r>
        <w:rPr>
          <w:rFonts w:ascii="Verdana" w:hAnsi="Verdana"/>
          <w:color w:val="000000"/>
          <w:sz w:val="18"/>
          <w:szCs w:val="18"/>
          <w:shd w:val="clear" w:color="auto" w:fill="B3D9E2"/>
        </w:rPr>
        <w:t xml:space="preserve"> a la Dirección Nacional del Registro Oficial y archívese. — Juan H. González </w:t>
      </w:r>
      <w:proofErr w:type="spellStart"/>
      <w:r>
        <w:rPr>
          <w:rFonts w:ascii="Verdana" w:hAnsi="Verdana"/>
          <w:color w:val="000000"/>
          <w:sz w:val="18"/>
          <w:szCs w:val="18"/>
          <w:shd w:val="clear" w:color="auto" w:fill="B3D9E2"/>
        </w:rPr>
        <w:t>Gaviola</w:t>
      </w:r>
      <w:proofErr w:type="spellEnd"/>
      <w:r>
        <w:rPr>
          <w:rFonts w:ascii="Verdana" w:hAnsi="Verdana"/>
          <w:color w:val="000000"/>
          <w:sz w:val="18"/>
          <w:szCs w:val="18"/>
          <w:shd w:val="clear" w:color="auto" w:fill="B3D9E2"/>
        </w:rPr>
        <w:t>.</w:t>
      </w:r>
    </w:p>
    <w:sectPr w:rsidR="00D1240C" w:rsidRPr="00F303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A3"/>
    <w:rsid w:val="00D1240C"/>
    <w:rsid w:val="00F303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EDC8-5C8A-4EF6-8E9F-82D089E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2022-08-12T15:53:00Z</dcterms:created>
  <dcterms:modified xsi:type="dcterms:W3CDTF">2022-08-12T15:54:00Z</dcterms:modified>
</cp:coreProperties>
</file>